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仿宋" w:hAnsi="仿宋" w:eastAsia="仿宋" w:cs="仿宋"/>
          <w:b/>
          <w:sz w:val="44"/>
          <w:szCs w:val="44"/>
        </w:rPr>
      </w:pPr>
      <w:r>
        <w:rPr>
          <w:rFonts w:hint="eastAsia" w:ascii="仿宋" w:hAnsi="仿宋" w:eastAsia="仿宋" w:cs="仿宋"/>
          <w:b/>
          <w:sz w:val="44"/>
          <w:szCs w:val="44"/>
        </w:rPr>
        <w:t>2018年英吉沙县林果业提质增效项目</w:t>
      </w:r>
    </w:p>
    <w:p>
      <w:pPr>
        <w:spacing w:line="570" w:lineRule="exact"/>
        <w:jc w:val="center"/>
        <w:rPr>
          <w:rFonts w:ascii="仿宋" w:hAnsi="仿宋" w:eastAsia="仿宋" w:cs="仿宋"/>
          <w:b/>
          <w:sz w:val="44"/>
          <w:szCs w:val="44"/>
        </w:rPr>
      </w:pPr>
      <w:r>
        <w:rPr>
          <w:rFonts w:hint="eastAsia" w:ascii="仿宋" w:hAnsi="仿宋" w:eastAsia="仿宋" w:cs="仿宋"/>
          <w:b/>
          <w:sz w:val="44"/>
          <w:szCs w:val="44"/>
        </w:rPr>
        <w:t>绩效自评报告</w:t>
      </w:r>
    </w:p>
    <w:p>
      <w:pPr>
        <w:numPr>
          <w:ilvl w:val="0"/>
          <w:numId w:val="1"/>
        </w:numPr>
        <w:spacing w:before="100" w:beforeAutospacing="1"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项目概况</w:t>
      </w:r>
    </w:p>
    <w:p>
      <w:pPr>
        <w:numPr>
          <w:ilvl w:val="0"/>
          <w:numId w:val="2"/>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项目简介</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为认真贯彻落实《习近平总书记重要讲话精神加快推进深度贫困地区脱贫攻坚的意见》精神，到户到人精准施策，加快推进我县贫困村脱贫攻坚工作，坚决打赢脱贫攻坚这场硬仗。</w:t>
      </w:r>
    </w:p>
    <w:p>
      <w:pPr>
        <w:numPr>
          <w:ilvl w:val="0"/>
          <w:numId w:val="2"/>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项目绩效目标</w:t>
      </w:r>
    </w:p>
    <w:p>
      <w:pPr>
        <w:numPr>
          <w:ilvl w:val="0"/>
          <w:numId w:val="3"/>
        </w:numPr>
        <w:tabs>
          <w:tab w:val="clear" w:pos="312"/>
        </w:tabs>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项目绩效总目标</w:t>
      </w:r>
    </w:p>
    <w:p>
      <w:pPr>
        <w:autoSpaceDE w:val="0"/>
        <w:autoSpaceDN w:val="0"/>
        <w:adjustRightInd w:val="0"/>
        <w:spacing w:line="570" w:lineRule="exact"/>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着眼长远，从领导重视、宣传培训、巩固基地建设、有害生物防治、田间管护、品牌建设、市场流通等环节入手，多管齐下，坚定不移地抓好特色林果业提质增效工作。1305户建档立卡贫困户，2158亩果园优质果率达8</w:t>
      </w:r>
      <w:bookmarkStart w:id="0" w:name="_GoBack"/>
      <w:bookmarkEnd w:id="0"/>
      <w:r>
        <w:rPr>
          <w:rFonts w:hint="eastAsia" w:ascii="仿宋" w:hAnsi="仿宋" w:eastAsia="仿宋" w:cs="仿宋"/>
          <w:color w:val="000000"/>
          <w:sz w:val="32"/>
          <w:szCs w:val="32"/>
        </w:rPr>
        <w:t>0%以上，亩均产量较上年增加15%以上。</w:t>
      </w:r>
    </w:p>
    <w:p>
      <w:pPr>
        <w:numPr>
          <w:ilvl w:val="0"/>
          <w:numId w:val="3"/>
        </w:numPr>
        <w:tabs>
          <w:tab w:val="clear" w:pos="312"/>
        </w:tabs>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阶段性（个性化）绩效指标。</w:t>
      </w:r>
    </w:p>
    <w:p>
      <w:pPr>
        <w:numPr>
          <w:ilvl w:val="0"/>
          <w:numId w:val="1"/>
        </w:num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项目执行基本情况</w:t>
      </w:r>
    </w:p>
    <w:p>
      <w:pPr>
        <w:numPr>
          <w:ilvl w:val="0"/>
          <w:numId w:val="4"/>
        </w:numPr>
        <w:spacing w:line="570" w:lineRule="exact"/>
        <w:rPr>
          <w:rFonts w:ascii="仿宋" w:hAnsi="仿宋" w:eastAsia="仿宋" w:cs="仿宋"/>
          <w:color w:val="000000"/>
          <w:sz w:val="32"/>
          <w:szCs w:val="32"/>
        </w:rPr>
      </w:pPr>
      <w:r>
        <w:rPr>
          <w:rFonts w:hint="eastAsia" w:ascii="仿宋" w:hAnsi="仿宋" w:eastAsia="仿宋" w:cs="仿宋"/>
          <w:color w:val="000000"/>
          <w:sz w:val="32"/>
          <w:szCs w:val="32"/>
        </w:rPr>
        <w:t>项目立项情况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项目各阶段实施前均向县扶贫开发领导小组提出方案，县扶贫开发领导小组会议通过后具体实施。</w:t>
      </w:r>
    </w:p>
    <w:p>
      <w:pPr>
        <w:numPr>
          <w:ilvl w:val="0"/>
          <w:numId w:val="4"/>
        </w:numPr>
        <w:spacing w:line="570" w:lineRule="exact"/>
        <w:rPr>
          <w:rFonts w:ascii="仿宋" w:hAnsi="仿宋" w:eastAsia="仿宋" w:cs="仿宋"/>
          <w:color w:val="000000"/>
          <w:sz w:val="32"/>
          <w:szCs w:val="32"/>
        </w:rPr>
      </w:pPr>
      <w:r>
        <w:rPr>
          <w:rFonts w:hint="eastAsia" w:ascii="仿宋" w:hAnsi="仿宋" w:eastAsia="仿宋" w:cs="仿宋"/>
          <w:color w:val="000000"/>
          <w:sz w:val="32"/>
          <w:szCs w:val="32"/>
        </w:rPr>
        <w:t>项目调整情况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无。</w:t>
      </w:r>
    </w:p>
    <w:p>
      <w:pPr>
        <w:numPr>
          <w:ilvl w:val="0"/>
          <w:numId w:val="4"/>
        </w:numPr>
        <w:spacing w:line="570" w:lineRule="exact"/>
        <w:rPr>
          <w:rFonts w:ascii="仿宋" w:hAnsi="仿宋" w:eastAsia="仿宋" w:cs="仿宋"/>
          <w:color w:val="000000"/>
          <w:sz w:val="32"/>
          <w:szCs w:val="32"/>
        </w:rPr>
      </w:pPr>
      <w:r>
        <w:rPr>
          <w:rFonts w:hint="eastAsia" w:ascii="仿宋" w:hAnsi="仿宋" w:eastAsia="仿宋" w:cs="仿宋"/>
          <w:color w:val="000000"/>
          <w:sz w:val="32"/>
          <w:szCs w:val="32"/>
        </w:rPr>
        <w:t>项目完成情况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目前项目已完成病虫害防治、施肥、采摘、初加工阶段，正在实施果树补植补造。</w:t>
      </w:r>
    </w:p>
    <w:p>
      <w:pPr>
        <w:numPr>
          <w:ilvl w:val="0"/>
          <w:numId w:val="4"/>
        </w:numPr>
        <w:spacing w:line="570" w:lineRule="exact"/>
        <w:rPr>
          <w:rFonts w:ascii="仿宋" w:hAnsi="仿宋" w:eastAsia="仿宋" w:cs="仿宋"/>
          <w:color w:val="000000"/>
          <w:sz w:val="32"/>
          <w:szCs w:val="32"/>
        </w:rPr>
      </w:pPr>
      <w:r>
        <w:rPr>
          <w:rFonts w:hint="eastAsia" w:ascii="仿宋" w:hAnsi="仿宋" w:eastAsia="仿宋" w:cs="仿宋"/>
          <w:color w:val="000000"/>
          <w:sz w:val="32"/>
          <w:szCs w:val="32"/>
        </w:rPr>
        <w:t>项目资金安排与使用情况</w:t>
      </w:r>
    </w:p>
    <w:p>
      <w:pPr>
        <w:numPr>
          <w:ilvl w:val="0"/>
          <w:numId w:val="5"/>
        </w:numPr>
        <w:tabs>
          <w:tab w:val="clear" w:pos="312"/>
        </w:tabs>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项目预算安排情况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项目资金总到位93.24万元，其中贫困户提质增效项目资金93.24万。</w:t>
      </w:r>
      <w:r>
        <w:rPr>
          <w:rFonts w:ascii="仿宋" w:hAnsi="仿宋" w:eastAsia="仿宋" w:cs="仿宋"/>
          <w:color w:val="000000"/>
          <w:sz w:val="32"/>
          <w:szCs w:val="32"/>
        </w:rPr>
        <w:t xml:space="preserve"> </w:t>
      </w:r>
    </w:p>
    <w:p>
      <w:pPr>
        <w:numPr>
          <w:ilvl w:val="0"/>
          <w:numId w:val="5"/>
        </w:numPr>
        <w:tabs>
          <w:tab w:val="clear" w:pos="312"/>
        </w:tabs>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项目实际支出情况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项目资金总到位93.24万元，其中贫困户提质增效项目资金93.24万，目前已支出93.24元。</w:t>
      </w:r>
      <w:r>
        <w:rPr>
          <w:rFonts w:ascii="仿宋" w:hAnsi="仿宋" w:eastAsia="仿宋" w:cs="仿宋"/>
          <w:color w:val="000000"/>
          <w:sz w:val="32"/>
          <w:szCs w:val="32"/>
        </w:rPr>
        <w:t xml:space="preserve"> </w:t>
      </w:r>
    </w:p>
    <w:p>
      <w:pPr>
        <w:numPr>
          <w:ilvl w:val="0"/>
          <w:numId w:val="5"/>
        </w:numPr>
        <w:tabs>
          <w:tab w:val="clear" w:pos="312"/>
        </w:tabs>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项目财务管理状况、管理制度及执行情况</w:t>
      </w:r>
    </w:p>
    <w:p>
      <w:pPr>
        <w:spacing w:line="570" w:lineRule="exact"/>
        <w:ind w:firstLine="707" w:firstLineChars="221"/>
        <w:rPr>
          <w:rFonts w:ascii="仿宋" w:hAnsi="仿宋" w:eastAsia="仿宋" w:cs="仿宋"/>
          <w:color w:val="000000"/>
          <w:sz w:val="32"/>
          <w:szCs w:val="32"/>
        </w:rPr>
      </w:pPr>
      <w:r>
        <w:rPr>
          <w:rFonts w:hint="eastAsia" w:ascii="仿宋" w:hAnsi="仿宋" w:eastAsia="仿宋" w:cs="仿宋"/>
          <w:color w:val="000000"/>
          <w:sz w:val="32"/>
          <w:szCs w:val="32"/>
        </w:rPr>
        <w:t>我单位项目资金使用、管理严格按照《喀什地区财政扶贫资金管理办法（试行）》，项目实施所采购农药、复合肥等材料均公开招标，资金拨付由财政直接支付供货单位。使用管理中不存在弄虚作假，挤占、挪用，截留资金等违法行为。</w:t>
      </w:r>
    </w:p>
    <w:p>
      <w:pPr>
        <w:adjustRightInd w:val="0"/>
        <w:snapToGrid w:val="0"/>
        <w:spacing w:line="570" w:lineRule="exact"/>
        <w:ind w:firstLine="624" w:firstLineChars="200"/>
        <w:outlineLvl w:val="0"/>
        <w:rPr>
          <w:rStyle w:val="6"/>
          <w:rFonts w:ascii="仿宋" w:hAnsi="仿宋" w:eastAsia="仿宋" w:cs="仿宋"/>
          <w:b w:val="0"/>
          <w:spacing w:val="-4"/>
          <w:sz w:val="32"/>
          <w:szCs w:val="32"/>
        </w:rPr>
      </w:pPr>
      <w:r>
        <w:rPr>
          <w:rStyle w:val="6"/>
          <w:rFonts w:hint="eastAsia" w:ascii="仿宋" w:hAnsi="仿宋" w:eastAsia="仿宋" w:cs="仿宋"/>
          <w:b w:val="0"/>
          <w:spacing w:val="-4"/>
          <w:sz w:val="32"/>
          <w:szCs w:val="32"/>
        </w:rPr>
        <w:t>三、项目组织实施情况</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（一）项目组织情况分析</w:t>
      </w:r>
    </w:p>
    <w:p>
      <w:pPr>
        <w:spacing w:line="570"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包括：项目投标情况、调整情况、完成验收等方面。</w:t>
      </w:r>
    </w:p>
    <w:p>
      <w:pPr>
        <w:spacing w:line="570"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该项目属于农户个人补助项目,没有达到招投标限额,由实施单位负责自行组织实施。项目实施由英吉沙县林业局、全县14个乡镇共同监管。</w:t>
      </w:r>
    </w:p>
    <w:p>
      <w:pPr>
        <w:spacing w:line="570"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本项目不存在调整情况。</w:t>
      </w:r>
    </w:p>
    <w:p>
      <w:pPr>
        <w:spacing w:line="570" w:lineRule="exact"/>
        <w:ind w:firstLine="640" w:firstLineChars="200"/>
        <w:rPr>
          <w:rFonts w:ascii="仿宋" w:hAnsi="仿宋" w:eastAsia="仿宋" w:cs="仿宋"/>
          <w:bCs/>
          <w:color w:val="000000"/>
          <w:sz w:val="32"/>
          <w:szCs w:val="32"/>
        </w:rPr>
      </w:pPr>
      <w:r>
        <w:rPr>
          <w:rFonts w:hint="eastAsia" w:ascii="仿宋" w:hAnsi="仿宋" w:eastAsia="仿宋" w:cs="仿宋"/>
          <w:bCs/>
          <w:color w:val="000000"/>
          <w:sz w:val="32"/>
          <w:szCs w:val="32"/>
        </w:rPr>
        <w:t>为保证项目质量和成本控制，项目实施完成后，由三方项目相关人员组织检查验收，检查验收合格后按合同规定支付款项。</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（二）项目管理情况分析</w:t>
      </w:r>
    </w:p>
    <w:p>
      <w:pPr>
        <w:spacing w:line="570" w:lineRule="exact"/>
        <w:ind w:firstLine="640" w:firstLineChars="200"/>
        <w:rPr>
          <w:rFonts w:ascii="仿宋" w:hAnsi="仿宋" w:eastAsia="仿宋" w:cs="仿宋"/>
        </w:rPr>
      </w:pPr>
      <w:r>
        <w:rPr>
          <w:rFonts w:hint="eastAsia" w:ascii="仿宋" w:hAnsi="仿宋" w:eastAsia="仿宋" w:cs="仿宋"/>
          <w:color w:val="000000"/>
          <w:sz w:val="32"/>
          <w:szCs w:val="32"/>
        </w:rPr>
        <w:t>项目实施过程中，</w:t>
      </w:r>
      <w:r>
        <w:rPr>
          <w:rFonts w:hint="eastAsia" w:ascii="仿宋" w:hAnsi="仿宋" w:eastAsia="仿宋" w:cs="仿宋"/>
          <w:bCs/>
          <w:color w:val="000000"/>
          <w:sz w:val="32"/>
          <w:szCs w:val="32"/>
        </w:rPr>
        <w:t>制定了项目实施方案，</w:t>
      </w:r>
      <w:r>
        <w:rPr>
          <w:rFonts w:hint="eastAsia" w:ascii="仿宋" w:hAnsi="仿宋" w:eastAsia="仿宋" w:cs="仿宋"/>
          <w:color w:val="000000"/>
          <w:sz w:val="32"/>
          <w:szCs w:val="32"/>
        </w:rPr>
        <w:t>切实保障了项目的顺利实施。项目的实施遵守相关法律法规和业务管理规定，项目资料齐全并及时归档。并不定期对项目进度情况进行督导检查，对检查过程中发现的问题及时督促整改，确保了项目按时保质完成。</w:t>
      </w:r>
    </w:p>
    <w:p>
      <w:p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四、项目绩效目标实现的自我评价</w:t>
      </w:r>
    </w:p>
    <w:p>
      <w:pPr>
        <w:numPr>
          <w:ilvl w:val="0"/>
          <w:numId w:val="6"/>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绩效指标分析</w:t>
      </w:r>
    </w:p>
    <w:p>
      <w:pPr>
        <w:numPr>
          <w:ilvl w:val="0"/>
          <w:numId w:val="7"/>
        </w:num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产出指标完成情况分析。</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（1）数量指标完成情况。17个村，2158亩特色林果，1305户贫困户。</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2）质量指标完成情况。一是项目所采购农药、复合肥、工具等材料经自检与第三方出具检验报告，质量全部达到合格标准。二是项目根据实施方案实时完成。三是布兜、晾晒架根据方案及杏子采摘期实际情况已拨付乡镇根据农户实际制作数量进行了补贴，目前只有少量结余资金已申请退回国库重新整合利用。</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sz w:val="32"/>
          <w:szCs w:val="32"/>
        </w:rPr>
        <w:t>（3）时效指标完成情况。英吉沙县林果业提质增效项目实施严格按照实施方案时间进度及林果生长情况落实管护措施。</w:t>
      </w:r>
    </w:p>
    <w:p>
      <w:pPr>
        <w:numPr>
          <w:ilvl w:val="0"/>
          <w:numId w:val="7"/>
        </w:num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效益指标</w:t>
      </w:r>
    </w:p>
    <w:p>
      <w:pPr>
        <w:spacing w:line="57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1）经济效益指标。经过林果业提质增效项目的实施，2018年英吉沙县主要林果产品优果率已达到80%，相比去年主要林果产品害虫蛀果率80%形成了鲜明对比，且经过今年提质增效的实施，去年产量亩均300公斤左右，今年能达到350-500公斤。</w:t>
      </w:r>
    </w:p>
    <w:p>
      <w:pPr>
        <w:spacing w:line="57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（2）社会效益指标。经过今年特色林果提质增效的实施，重新激发了果农管理经济林的信心与积极性，整个英吉沙县形成了勤劳致富，优果致富的社会风气。</w:t>
      </w:r>
    </w:p>
    <w:p>
      <w:pPr>
        <w:spacing w:line="570" w:lineRule="exact"/>
        <w:ind w:firstLine="640" w:firstLineChars="200"/>
        <w:jc w:val="left"/>
        <w:rPr>
          <w:rFonts w:ascii="仿宋" w:hAnsi="仿宋" w:eastAsia="仿宋" w:cs="仿宋"/>
          <w:bCs/>
          <w:sz w:val="32"/>
          <w:szCs w:val="32"/>
        </w:rPr>
      </w:pPr>
      <w:r>
        <w:rPr>
          <w:rFonts w:hint="eastAsia" w:ascii="仿宋" w:hAnsi="仿宋" w:eastAsia="仿宋" w:cs="仿宋"/>
          <w:bCs/>
          <w:sz w:val="32"/>
          <w:szCs w:val="32"/>
        </w:rPr>
        <w:t>（3）可持续影响指标。通过今年对贫困户实施林果业提质增效，激发、指导了周边一般群众对自己的林果进行了田间管理、病虫害防治、施肥等积极性。</w:t>
      </w:r>
    </w:p>
    <w:p>
      <w:pPr>
        <w:numPr>
          <w:ilvl w:val="0"/>
          <w:numId w:val="7"/>
        </w:numPr>
        <w:spacing w:line="570" w:lineRule="exact"/>
        <w:ind w:left="1000" w:hanging="360"/>
        <w:rPr>
          <w:rFonts w:ascii="仿宋" w:hAnsi="仿宋" w:eastAsia="仿宋" w:cs="仿宋"/>
          <w:color w:val="000000"/>
          <w:sz w:val="32"/>
          <w:szCs w:val="32"/>
        </w:rPr>
      </w:pPr>
      <w:r>
        <w:rPr>
          <w:rFonts w:hint="eastAsia" w:ascii="仿宋" w:hAnsi="仿宋" w:eastAsia="仿宋" w:cs="仿宋"/>
          <w:color w:val="000000"/>
          <w:sz w:val="32"/>
          <w:szCs w:val="32"/>
        </w:rPr>
        <w:t>满意度指标</w:t>
      </w:r>
    </w:p>
    <w:p>
      <w:pPr>
        <w:spacing w:line="570" w:lineRule="exact"/>
        <w:ind w:firstLine="640" w:firstLineChars="200"/>
        <w:rPr>
          <w:rFonts w:ascii="仿宋" w:hAnsi="仿宋" w:eastAsia="仿宋" w:cs="仿宋"/>
          <w:sz w:val="32"/>
          <w:szCs w:val="32"/>
        </w:rPr>
      </w:pPr>
      <w:r>
        <w:rPr>
          <w:rFonts w:hint="eastAsia" w:ascii="仿宋" w:hAnsi="仿宋" w:eastAsia="仿宋" w:cs="仿宋"/>
          <w:sz w:val="32"/>
          <w:szCs w:val="32"/>
        </w:rPr>
        <w:t>服务对象满意度指标。通过今年林果业提质增效项目实施，让广大贫困户享受到了勤劳致富、科学管理致富的甜头，广大贫困户坚信英吉沙特色经济林是他们脱贫增收的重要途径。</w:t>
      </w:r>
    </w:p>
    <w:p>
      <w:pPr>
        <w:numPr>
          <w:ilvl w:val="0"/>
          <w:numId w:val="6"/>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项目取得的成效。</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通过林果业提质增效项目的实施，亩均产量由去年300公斤/亩提升到今年350-500公斤/亩；蛀果率由去年80%减少到20%以下，虫口基数得到有效控制；优果率今年提升60%以上，由于优果率的提升，进而提高了林果产品的商品价值（由去年2元/公斤提升到3.5元/公斤）；通过项目实施，增强了果农科学管理林果水平与意识。</w:t>
      </w:r>
    </w:p>
    <w:p>
      <w:pPr>
        <w:spacing w:line="570" w:lineRule="exact"/>
        <w:ind w:firstLine="640" w:firstLineChars="200"/>
        <w:jc w:val="left"/>
        <w:rPr>
          <w:rFonts w:ascii="仿宋" w:hAnsi="仿宋" w:eastAsia="仿宋" w:cs="仿宋"/>
          <w:bCs/>
          <w:kern w:val="44"/>
          <w:sz w:val="32"/>
          <w:szCs w:val="32"/>
        </w:rPr>
      </w:pPr>
      <w:r>
        <w:rPr>
          <w:rFonts w:hint="eastAsia" w:ascii="仿宋" w:hAnsi="仿宋" w:eastAsia="仿宋" w:cs="仿宋"/>
          <w:bCs/>
          <w:kern w:val="44"/>
          <w:sz w:val="32"/>
          <w:szCs w:val="32"/>
        </w:rPr>
        <w:t>五、项目实施的经验、存在的问题和意见建议</w:t>
      </w:r>
    </w:p>
    <w:p>
      <w:pPr>
        <w:numPr>
          <w:ilvl w:val="0"/>
          <w:numId w:val="8"/>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项目实施过程中好的经验做法；</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通过聘请自治区林果专家对果农现场指导、培训，提高了果农科学管理、种植水平；增强了果农市场意识，拓宽了市场渠道。</w:t>
      </w:r>
    </w:p>
    <w:p>
      <w:pPr>
        <w:numPr>
          <w:ilvl w:val="0"/>
          <w:numId w:val="8"/>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项目实施过程中存在的问题及原因分析；</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项目资金到位晚，到位不及时，影响了项目及时实施；劳动力不足，导致项目整体未能按预定目标及时实施；缺乏林果专业技术人才。</w:t>
      </w:r>
    </w:p>
    <w:p>
      <w:pPr>
        <w:numPr>
          <w:ilvl w:val="0"/>
          <w:numId w:val="8"/>
        </w:num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对下一年度项目实施的改进意见或措施。</w:t>
      </w:r>
    </w:p>
    <w:p>
      <w:pPr>
        <w:spacing w:line="570" w:lineRule="exact"/>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从援疆省市引进林果专业技术人才；成立科技研发中心，加强对外交流；加强对果农的技术培训。</w:t>
      </w:r>
    </w:p>
    <w:p>
      <w:pPr>
        <w:spacing w:line="570" w:lineRule="exact"/>
        <w:rPr>
          <w:rFonts w:ascii="仿宋" w:hAnsi="仿宋" w:eastAsia="仿宋" w:cs="仿宋"/>
        </w:rPr>
      </w:pPr>
    </w:p>
    <w:p>
      <w:pPr>
        <w:widowControl/>
        <w:wordWrap w:val="0"/>
        <w:spacing w:line="570" w:lineRule="exact"/>
        <w:ind w:firstLine="2560" w:firstLineChars="800"/>
        <w:jc w:val="right"/>
        <w:rPr>
          <w:rFonts w:ascii="仿宋" w:hAnsi="仿宋" w:eastAsia="仿宋" w:cs="仿宋"/>
          <w:sz w:val="32"/>
          <w:szCs w:val="32"/>
        </w:rPr>
      </w:pPr>
      <w:r>
        <w:rPr>
          <w:rFonts w:hint="eastAsia" w:ascii="仿宋" w:hAnsi="仿宋" w:eastAsia="仿宋" w:cs="仿宋"/>
          <w:sz w:val="32"/>
          <w:szCs w:val="32"/>
        </w:rPr>
        <w:t xml:space="preserve">英吉沙县芒辛镇人民政府 </w:t>
      </w:r>
    </w:p>
    <w:p>
      <w:pPr>
        <w:widowControl/>
        <w:spacing w:line="570" w:lineRule="exact"/>
        <w:ind w:firstLine="2560" w:firstLineChars="800"/>
        <w:jc w:val="right"/>
        <w:rPr>
          <w:rFonts w:ascii="仿宋" w:hAnsi="仿宋" w:eastAsia="仿宋" w:cs="仿宋"/>
          <w:sz w:val="32"/>
          <w:szCs w:val="32"/>
        </w:rPr>
      </w:pPr>
      <w:r>
        <w:rPr>
          <w:rFonts w:hint="eastAsia" w:ascii="仿宋" w:hAnsi="仿宋" w:eastAsia="仿宋" w:cs="仿宋"/>
          <w:sz w:val="32"/>
          <w:szCs w:val="32"/>
        </w:rPr>
        <w:t>2018年12月28日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t>5</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74E2492"/>
    <w:multiLevelType w:val="singleLevel"/>
    <w:tmpl w:val="974E2492"/>
    <w:lvl w:ilvl="0" w:tentative="0">
      <w:start w:val="1"/>
      <w:numFmt w:val="decimal"/>
      <w:lvlText w:val="%1."/>
      <w:lvlJc w:val="left"/>
      <w:pPr>
        <w:tabs>
          <w:tab w:val="left" w:pos="312"/>
        </w:tabs>
      </w:pPr>
    </w:lvl>
  </w:abstractNum>
  <w:abstractNum w:abstractNumId="1">
    <w:nsid w:val="ADA7EC5E"/>
    <w:multiLevelType w:val="singleLevel"/>
    <w:tmpl w:val="ADA7EC5E"/>
    <w:lvl w:ilvl="0" w:tentative="0">
      <w:start w:val="1"/>
      <w:numFmt w:val="chineseCounting"/>
      <w:suff w:val="nothing"/>
      <w:lvlText w:val="（%1）"/>
      <w:lvlJc w:val="left"/>
      <w:rPr>
        <w:rFonts w:hint="eastAsia"/>
      </w:rPr>
    </w:lvl>
  </w:abstractNum>
  <w:abstractNum w:abstractNumId="2">
    <w:nsid w:val="E6B4833B"/>
    <w:multiLevelType w:val="singleLevel"/>
    <w:tmpl w:val="E6B4833B"/>
    <w:lvl w:ilvl="0" w:tentative="0">
      <w:start w:val="1"/>
      <w:numFmt w:val="chineseCounting"/>
      <w:suff w:val="nothing"/>
      <w:lvlText w:val="（%1）"/>
      <w:lvlJc w:val="left"/>
      <w:rPr>
        <w:rFonts w:hint="eastAsia"/>
      </w:rPr>
    </w:lvl>
  </w:abstractNum>
  <w:abstractNum w:abstractNumId="3">
    <w:nsid w:val="06F8B721"/>
    <w:multiLevelType w:val="singleLevel"/>
    <w:tmpl w:val="06F8B721"/>
    <w:lvl w:ilvl="0" w:tentative="0">
      <w:start w:val="1"/>
      <w:numFmt w:val="chineseCounting"/>
      <w:suff w:val="nothing"/>
      <w:lvlText w:val="%1、"/>
      <w:lvlJc w:val="left"/>
      <w:rPr>
        <w:rFonts w:hint="eastAsia"/>
      </w:rPr>
    </w:lvl>
  </w:abstractNum>
  <w:abstractNum w:abstractNumId="4">
    <w:nsid w:val="0B4C0C92"/>
    <w:multiLevelType w:val="singleLevel"/>
    <w:tmpl w:val="0B4C0C92"/>
    <w:lvl w:ilvl="0" w:tentative="0">
      <w:start w:val="1"/>
      <w:numFmt w:val="decimal"/>
      <w:lvlText w:val="%1."/>
      <w:lvlJc w:val="left"/>
      <w:pPr>
        <w:tabs>
          <w:tab w:val="left" w:pos="312"/>
        </w:tabs>
      </w:pPr>
    </w:lvl>
  </w:abstractNum>
  <w:abstractNum w:abstractNumId="5">
    <w:nsid w:val="2BEE0553"/>
    <w:multiLevelType w:val="singleLevel"/>
    <w:tmpl w:val="2BEE0553"/>
    <w:lvl w:ilvl="0" w:tentative="0">
      <w:start w:val="1"/>
      <w:numFmt w:val="chineseCounting"/>
      <w:suff w:val="nothing"/>
      <w:lvlText w:val="（%1）"/>
      <w:lvlJc w:val="left"/>
      <w:rPr>
        <w:rFonts w:hint="eastAsia"/>
      </w:rPr>
    </w:lvl>
  </w:abstractNum>
  <w:abstractNum w:abstractNumId="6">
    <w:nsid w:val="5E2D902D"/>
    <w:multiLevelType w:val="singleLevel"/>
    <w:tmpl w:val="5E2D902D"/>
    <w:lvl w:ilvl="0" w:tentative="0">
      <w:start w:val="1"/>
      <w:numFmt w:val="chineseCounting"/>
      <w:suff w:val="nothing"/>
      <w:lvlText w:val="（%1）"/>
      <w:lvlJc w:val="left"/>
      <w:rPr>
        <w:rFonts w:hint="eastAsia"/>
      </w:rPr>
    </w:lvl>
  </w:abstractNum>
  <w:abstractNum w:abstractNumId="7">
    <w:nsid w:val="5E8C68CE"/>
    <w:multiLevelType w:val="multilevel"/>
    <w:tmpl w:val="5E8C68CE"/>
    <w:lvl w:ilvl="0" w:tentative="0">
      <w:start w:val="1"/>
      <w:numFmt w:val="decimal"/>
      <w:lvlText w:val="%1."/>
      <w:lvlJc w:val="left"/>
      <w:pPr>
        <w:ind w:left="1120" w:hanging="4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num w:numId="1">
    <w:abstractNumId w:val="3"/>
  </w:num>
  <w:num w:numId="2">
    <w:abstractNumId w:val="6"/>
  </w:num>
  <w:num w:numId="3">
    <w:abstractNumId w:val="0"/>
  </w:num>
  <w:num w:numId="4">
    <w:abstractNumId w:val="5"/>
  </w:num>
  <w:num w:numId="5">
    <w:abstractNumId w:val="4"/>
  </w:num>
  <w:num w:numId="6">
    <w:abstractNumId w:val="1"/>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CF1C13"/>
    <w:rsid w:val="00343A31"/>
    <w:rsid w:val="006C0D00"/>
    <w:rsid w:val="00721C23"/>
    <w:rsid w:val="00730C31"/>
    <w:rsid w:val="008267E5"/>
    <w:rsid w:val="008E36AE"/>
    <w:rsid w:val="00B26601"/>
    <w:rsid w:val="00BE36E6"/>
    <w:rsid w:val="00D74C70"/>
    <w:rsid w:val="00DA602C"/>
    <w:rsid w:val="00E4462B"/>
    <w:rsid w:val="00F02D93"/>
    <w:rsid w:val="00F62922"/>
    <w:rsid w:val="00FD0DB2"/>
    <w:rsid w:val="02CF1C13"/>
    <w:rsid w:val="244F61FB"/>
    <w:rsid w:val="29FB04E9"/>
    <w:rsid w:val="33FF363E"/>
    <w:rsid w:val="3974300C"/>
    <w:rsid w:val="3E09305B"/>
    <w:rsid w:val="3FF72668"/>
    <w:rsid w:val="47113CFA"/>
    <w:rsid w:val="49DE12A4"/>
    <w:rsid w:val="63070C67"/>
    <w:rsid w:val="6D535020"/>
    <w:rsid w:val="6F743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before="260" w:after="260" w:line="416" w:lineRule="auto"/>
      <w:ind w:firstLine="200" w:firstLineChars="200"/>
      <w:outlineLvl w:val="2"/>
    </w:pPr>
    <w:rPr>
      <w:b/>
      <w:sz w:val="32"/>
      <w:szCs w:val="32"/>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Strong"/>
    <w:basedOn w:val="5"/>
    <w:qFormat/>
    <w:uiPriority w:val="0"/>
    <w:rPr>
      <w:b/>
      <w:bCs/>
    </w:rPr>
  </w:style>
  <w:style w:type="paragraph" w:styleId="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China</Company>
  <Pages>5</Pages>
  <Words>306</Words>
  <Characters>1747</Characters>
  <Lines>14</Lines>
  <Paragraphs>4</Paragraphs>
  <TotalTime>19</TotalTime>
  <ScaleCrop>false</ScaleCrop>
  <LinksUpToDate>false</LinksUpToDate>
  <CharactersWithSpaces>2049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2018-11-10T10:50:00Z</dcterms:created>
  <dc:creator>Administrator</dc:creator>
  <cp:lastModifiedBy>Administrator</cp:lastModifiedBy>
  <dcterms:modified xsi:type="dcterms:W3CDTF">2019-09-20T03:24:53Z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